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C9" w:rsidRDefault="00077BC9">
      <w:pPr>
        <w:rPr>
          <w:sz w:val="20"/>
        </w:rPr>
      </w:pPr>
    </w:p>
    <w:p w:rsidR="006917FE" w:rsidRDefault="00077BC9" w:rsidP="00077BC9">
      <w:pPr>
        <w:jc w:val="center"/>
        <w:rPr>
          <w:rFonts w:ascii="Arial" w:hAnsi="Arial" w:cs="Arial"/>
          <w:b/>
          <w:sz w:val="20"/>
        </w:rPr>
      </w:pPr>
      <w:r w:rsidRPr="00077BC9">
        <w:rPr>
          <w:rFonts w:ascii="Arial" w:hAnsi="Arial" w:cs="Arial"/>
          <w:b/>
          <w:sz w:val="20"/>
        </w:rPr>
        <w:t>Anexo 1</w:t>
      </w:r>
    </w:p>
    <w:p w:rsidR="00077BC9" w:rsidRDefault="00077BC9" w:rsidP="00077BC9">
      <w:pPr>
        <w:jc w:val="center"/>
        <w:rPr>
          <w:rFonts w:ascii="Arial" w:hAnsi="Arial" w:cs="Arial"/>
          <w:b/>
          <w:sz w:val="20"/>
        </w:rPr>
      </w:pPr>
    </w:p>
    <w:p w:rsidR="00077BC9" w:rsidRPr="00077BC9" w:rsidRDefault="00077BC9" w:rsidP="00077BC9">
      <w:pPr>
        <w:jc w:val="center"/>
        <w:rPr>
          <w:rFonts w:ascii="Arial" w:hAnsi="Arial" w:cs="Arial"/>
          <w:b/>
          <w:sz w:val="20"/>
        </w:rPr>
      </w:pPr>
      <w:r w:rsidRPr="00077BC9">
        <w:rPr>
          <w:rFonts w:ascii="Arial" w:hAnsi="Arial" w:cs="Arial"/>
          <w:b/>
          <w:sz w:val="20"/>
        </w:rPr>
        <w:t>Formato para la Difusión de los Resultados de las Evaluaciones</w:t>
      </w:r>
    </w:p>
    <w:p w:rsidR="006917FE" w:rsidRPr="006917FE" w:rsidRDefault="006917FE">
      <w:pPr>
        <w:rPr>
          <w:sz w:val="20"/>
        </w:rPr>
      </w:pPr>
    </w:p>
    <w:tbl>
      <w:tblPr>
        <w:tblW w:w="8727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410"/>
        <w:gridCol w:w="3246"/>
        <w:gridCol w:w="1130"/>
      </w:tblGrid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Descripción de la evaluación</w:t>
            </w: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  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4E1363">
            <w:pPr>
              <w:pStyle w:val="Texto"/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1.1 Nombre de la evaluación: </w:t>
            </w:r>
            <w:r w:rsidR="00BF2BFE" w:rsidRPr="00BF2BFE">
              <w:rPr>
                <w:color w:val="000000"/>
                <w:sz w:val="16"/>
                <w:szCs w:val="16"/>
              </w:rPr>
              <w:t>EVALUACIÓN DE INDICADORES AL PROGRAMA: 135 PREVENCIÓN Y ATENCIÓN A LAS ADICCIONES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130FDD" w:rsidRDefault="00C77DAC" w:rsidP="00BF2BFE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0FDD">
              <w:rPr>
                <w:color w:val="000000"/>
                <w:sz w:val="16"/>
                <w:szCs w:val="16"/>
                <w:lang w:eastAsia="es-MX"/>
              </w:rPr>
              <w:t>1.2 Fecha de inicio de la evaluación (</w:t>
            </w:r>
            <w:proofErr w:type="spellStart"/>
            <w:r w:rsidRPr="00130FDD">
              <w:rPr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130FDD">
              <w:rPr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130FDD">
              <w:rPr>
                <w:color w:val="000000"/>
                <w:sz w:val="16"/>
                <w:szCs w:val="16"/>
                <w:lang w:eastAsia="es-MX"/>
              </w:rPr>
              <w:t>aaaa</w:t>
            </w:r>
            <w:proofErr w:type="spellEnd"/>
            <w:r w:rsidRPr="00130FDD">
              <w:rPr>
                <w:color w:val="000000"/>
                <w:sz w:val="16"/>
                <w:szCs w:val="16"/>
                <w:lang w:eastAsia="es-MX"/>
              </w:rPr>
              <w:t>):</w:t>
            </w:r>
            <w:r w:rsidR="00130FDD" w:rsidRPr="00130FDD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="005B2F70">
              <w:rPr>
                <w:color w:val="000000"/>
                <w:sz w:val="16"/>
                <w:szCs w:val="16"/>
                <w:lang w:eastAsia="es-MX"/>
              </w:rPr>
              <w:t>01/10/18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130FDD" w:rsidRDefault="00C77DAC" w:rsidP="00BF2BFE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0FDD">
              <w:rPr>
                <w:color w:val="000000"/>
                <w:sz w:val="16"/>
                <w:szCs w:val="16"/>
                <w:lang w:eastAsia="es-MX"/>
              </w:rPr>
              <w:t>1.3 Fecha de término de la evaluación (</w:t>
            </w:r>
            <w:proofErr w:type="spellStart"/>
            <w:r w:rsidRPr="00130FDD">
              <w:rPr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130FDD">
              <w:rPr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130FDD">
              <w:rPr>
                <w:color w:val="000000"/>
                <w:sz w:val="16"/>
                <w:szCs w:val="16"/>
                <w:lang w:eastAsia="es-MX"/>
              </w:rPr>
              <w:t>aaaa</w:t>
            </w:r>
            <w:proofErr w:type="spellEnd"/>
            <w:r w:rsidRPr="00130FDD">
              <w:rPr>
                <w:color w:val="000000"/>
                <w:sz w:val="16"/>
                <w:szCs w:val="16"/>
                <w:lang w:eastAsia="es-MX"/>
              </w:rPr>
              <w:t>):</w:t>
            </w:r>
            <w:r w:rsidR="00130FDD" w:rsidRPr="00130FDD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="005B2F70">
              <w:rPr>
                <w:color w:val="000000"/>
                <w:sz w:val="16"/>
                <w:szCs w:val="16"/>
                <w:lang w:eastAsia="es-MX"/>
              </w:rPr>
              <w:t>31/12/19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E96012">
              <w:rPr>
                <w:color w:val="000000"/>
                <w:sz w:val="16"/>
                <w:szCs w:val="16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C77DAC" w:rsidRPr="00542CB0" w:rsidTr="00077BC9">
        <w:trPr>
          <w:trHeight w:val="143"/>
        </w:trPr>
        <w:tc>
          <w:tcPr>
            <w:tcW w:w="4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F2BFE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 w:rsidR="00E96012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00B17" w:rsidRPr="00542CB0" w:rsidRDefault="00000B17" w:rsidP="00BF2BFE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Dr. Gilberto César García Salazar</w:t>
            </w:r>
          </w:p>
        </w:tc>
        <w:tc>
          <w:tcPr>
            <w:tcW w:w="4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F2BFE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  <w:r w:rsidR="00E96012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00B17" w:rsidRPr="00542CB0" w:rsidRDefault="00000B17" w:rsidP="00BF2BFE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1.5 Objetivo general de la evaluación:</w:t>
            </w:r>
          </w:p>
          <w:p w:rsidR="004E1363" w:rsidRPr="004E1363" w:rsidRDefault="00536250" w:rsidP="00536250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val="es-MX"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t>Evaluar mediante trabajo de campo, la pertinencia y alcance de los indicadores del programa 135 Programa de Prevención y Atención a las Adicciones, del SANNAFARM “VIDA NUEVA”, correspondiente al ejercicio 2017. Y proveer información que retroalimente en caso necesario sus indicadores, gestión y resultados. Es necesario resaltar que el Programa Anual de Evaluación, para los Programas Presupuestarios y otros Programas operados en la Administración Pública del Estado de Campeche y de los Fondos de Aportaciones Federales, tiene entre sus objetivos establecer un cronograma de ejecución de evaluaciones, así como determinar las evaluaciones y el tipo de evaluación de los programas; entre otras dependencias e instituciones, se encuentra la evaluación al programa 135 Prevención y Atención a las Adicciones, del SANNAFARM “Vida Nueva”, correspondiente al ejercicio 2017.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1.6 Objetivos específicos de la evaluación:</w:t>
            </w:r>
          </w:p>
          <w:p w:rsidR="00536250" w:rsidRDefault="00536250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Analizar la justificación de la creación e indicadores del Programa, </w:t>
            </w:r>
          </w:p>
          <w:p w:rsidR="00536250" w:rsidRDefault="00536250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sym w:font="Symbol" w:char="F0B7"/>
            </w: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 Identificar y analizar su vinculación con la planeación sectorial y nacional, </w:t>
            </w:r>
          </w:p>
          <w:p w:rsidR="00536250" w:rsidRDefault="00536250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sym w:font="Symbol" w:char="F0B7"/>
            </w: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 Identificar a sus poblaciones y mecanismos de atención, </w:t>
            </w:r>
          </w:p>
          <w:p w:rsidR="00536250" w:rsidRDefault="00536250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sym w:font="Symbol" w:char="F0B7"/>
            </w: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 Analizar la consistencia entre sus indicadores y la normatividad aplicable</w:t>
            </w:r>
          </w:p>
          <w:p w:rsidR="00536250" w:rsidRDefault="00536250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6250">
              <w:rPr>
                <w:color w:val="000000"/>
                <w:sz w:val="16"/>
                <w:szCs w:val="16"/>
                <w:lang w:eastAsia="es-MX"/>
              </w:rPr>
              <w:sym w:font="Symbol" w:char="F0B7"/>
            </w: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 Identificar el registro de operaciones presupuestales y rendición de cuentas, así como; 10 </w:t>
            </w:r>
          </w:p>
          <w:p w:rsidR="004E1363" w:rsidRPr="004E1363" w:rsidRDefault="00536250" w:rsidP="00536250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val="es-MX" w:eastAsia="es-MX"/>
              </w:rPr>
            </w:pPr>
            <w:r w:rsidRPr="00536250">
              <w:rPr>
                <w:color w:val="000000"/>
                <w:sz w:val="16"/>
                <w:szCs w:val="16"/>
                <w:lang w:eastAsia="es-MX"/>
              </w:rPr>
              <w:sym w:font="Symbol" w:char="F0B7"/>
            </w:r>
            <w:r w:rsidRPr="00536250">
              <w:rPr>
                <w:color w:val="000000"/>
                <w:sz w:val="16"/>
                <w:szCs w:val="16"/>
                <w:lang w:eastAsia="es-MX"/>
              </w:rPr>
              <w:t xml:space="preserve"> Identificar posibles complementariedades y/o coincidencias con otros Programas Federales.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E96012">
              <w:rPr>
                <w:color w:val="000000"/>
                <w:sz w:val="16"/>
                <w:szCs w:val="16"/>
                <w:lang w:eastAsia="es-MX"/>
              </w:rPr>
              <w:t>1.7 Metodología utilizada en la evaluación:</w:t>
            </w:r>
          </w:p>
          <w:p w:rsidR="00E96012" w:rsidRPr="00542CB0" w:rsidRDefault="007374C7" w:rsidP="007374C7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Investigación de campo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Instrumentos de recolección de información: 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Cuestionarios__ Entrevistas_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_ Formatos_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Otros__ </w:t>
            </w:r>
            <w:r>
              <w:rPr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</w:tr>
      <w:tr w:rsidR="00C77DAC" w:rsidRPr="00542CB0" w:rsidTr="00077BC9">
        <w:trPr>
          <w:trHeight w:val="819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lastRenderedPageBreak/>
              <w:t>Descripción de las técnicas y modelos utilizados: </w:t>
            </w:r>
          </w:p>
          <w:p w:rsidR="006917FE" w:rsidRPr="00542CB0" w:rsidRDefault="00000B17" w:rsidP="00000B17">
            <w:pPr>
              <w:pStyle w:val="Texto"/>
              <w:spacing w:line="252" w:lineRule="exact"/>
              <w:ind w:firstLine="0"/>
              <w:jc w:val="left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 xml:space="preserve">Para llevar a cabo la Evaluación de Indicadores al Programa 135, fue necesario recurrir a la Investigación de campo, la cual </w:t>
            </w:r>
            <w:r w:rsidRPr="00000B17">
              <w:rPr>
                <w:color w:val="000000"/>
                <w:sz w:val="16"/>
                <w:szCs w:val="16"/>
                <w:lang w:eastAsia="es-MX"/>
              </w:rPr>
              <w:t>es aquella que se aplica extrayendo datos e informaciones directamente de la realidad a través del uso de técnicas de recolección (como entrevistas o encuestas</w:t>
            </w:r>
            <w:r w:rsidR="00314725" w:rsidRPr="00000B17">
              <w:rPr>
                <w:color w:val="000000"/>
                <w:sz w:val="16"/>
                <w:szCs w:val="16"/>
                <w:lang w:eastAsia="es-MX"/>
              </w:rPr>
              <w:t>), para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este caso en específico se </w:t>
            </w:r>
            <w:r w:rsidR="00314725">
              <w:rPr>
                <w:color w:val="000000"/>
                <w:sz w:val="16"/>
                <w:szCs w:val="16"/>
                <w:lang w:eastAsia="es-MX"/>
              </w:rPr>
              <w:t>llevó a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cabo mediante cuestionarios realizados vía telefónica a usuarios del servicio proporcionado por SANNAFARM.</w:t>
            </w:r>
          </w:p>
        </w:tc>
      </w:tr>
      <w:tr w:rsidR="00C77DAC" w:rsidRPr="00542CB0" w:rsidTr="00077BC9">
        <w:trPr>
          <w:trHeight w:val="143"/>
        </w:trPr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6917FE" w:rsidRDefault="006917FE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  <w:p w:rsidR="00C77DAC" w:rsidRPr="006917FE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0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C77DAC" w:rsidRPr="00542CB0" w:rsidTr="00077BC9">
        <w:trPr>
          <w:trHeight w:val="143"/>
        </w:trPr>
        <w:tc>
          <w:tcPr>
            <w:tcW w:w="7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Principales Hallazgos de la evaluación</w:t>
            </w:r>
          </w:p>
        </w:tc>
        <w:tc>
          <w:tcPr>
            <w:tcW w:w="11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7DAC" w:rsidRPr="00542CB0" w:rsidTr="00077BC9">
        <w:trPr>
          <w:trHeight w:val="611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FF61A4">
              <w:rPr>
                <w:color w:val="000000"/>
                <w:sz w:val="16"/>
                <w:szCs w:val="16"/>
                <w:lang w:eastAsia="es-MX"/>
              </w:rPr>
              <w:t>2.1 Describir los hallazgos más relevantes de la evaluación:</w:t>
            </w:r>
          </w:p>
          <w:p w:rsidR="00314725" w:rsidRPr="00314725" w:rsidRDefault="00314725" w:rsidP="0031472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La matriz de Indicadores para Resultados (MIR) del Programa 135, es clara y se apega satisfactoriamente a la Metodología de Marco Lógico, sin embargo, con el objetivo de hacer más clara y precisa la información que en ella se presenta y después de su revisión y análisis, el equipo de evaluadores recomienda las siguientes mejoras: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 xml:space="preserve">En la redacción del Propósito se hace mención a que la población de 5 a 64 años de edad del Estado se encuentra fortalecida ante la situación de riesgo por el uso, abuso y/o dependencia a sustancias psicoactivas, no se especifica en qué Estado, la palabra </w:t>
            </w:r>
            <w:r w:rsidRPr="00314725">
              <w:rPr>
                <w:b/>
                <w:color w:val="000000"/>
                <w:sz w:val="16"/>
                <w:szCs w:val="16"/>
                <w:lang w:val="es-MX"/>
              </w:rPr>
              <w:t xml:space="preserve">fortalecida, </w:t>
            </w:r>
            <w:r w:rsidRPr="00314725">
              <w:rPr>
                <w:color w:val="000000"/>
                <w:sz w:val="16"/>
                <w:szCs w:val="16"/>
                <w:lang w:val="es-MX"/>
              </w:rPr>
              <w:t>no es lo suficientemente clara como para saber qué beneficios está obteniendo la población del Estado.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Las sesiones de perspectiva de género, se encuentran vinculadas al componente de internamiento, debería ser considerada como una actividad para cada grupo, es decir, semi internamiento y consulta externa.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No se menciona en la redacción de las actividades si se considera a las personas con discapacidad, sin embargo, en el árbol de problemas si es una causa.</w:t>
            </w:r>
          </w:p>
          <w:p w:rsid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Las fuentes y medios de verificación se encuentran redactados adecuadamente, sin embargo, deberían ser más específicos en cuanto a la localización de los documentos.</w:t>
            </w:r>
          </w:p>
          <w:p w:rsidR="00314725" w:rsidRPr="00314725" w:rsidRDefault="00314725" w:rsidP="00314725">
            <w:pPr>
              <w:pStyle w:val="Texto"/>
              <w:spacing w:line="252" w:lineRule="exact"/>
              <w:ind w:left="360" w:firstLine="0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 xml:space="preserve">Después de la revisión y análisis hechos a la Matriz de Indicadores para Resultados del Programa 135, </w:t>
            </w:r>
            <w:r>
              <w:rPr>
                <w:color w:val="000000"/>
                <w:sz w:val="16"/>
                <w:szCs w:val="16"/>
                <w:lang w:val="es-MX"/>
              </w:rPr>
              <w:t xml:space="preserve">específicamente a los indicadores, </w:t>
            </w:r>
            <w:r w:rsidRPr="00314725">
              <w:rPr>
                <w:color w:val="000000"/>
                <w:sz w:val="16"/>
                <w:szCs w:val="16"/>
                <w:lang w:val="es-MX"/>
              </w:rPr>
              <w:t>el equipo evaluador hace las siguientes recomendaciones: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La fórmula del indicador de Propósito no menciona en su redacción el rango de edades (5 a 64 años)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A nivel Propósito sería recomendable modificar el indicador por un indicador que mida el número de personas que concluyen su tratamiento, ya que el Programa está enfocado en la disminución y tratamiento de personas con adicciones.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La Mir del Programa no cuenta a nivel componente con un indicador que mida la calidad de los servicios que el Organismo SANNAFARM, “Vida Nueva” proporciona, por lo que el equipo evaluador recomienda incluir indicadores de calidad a ese nivel. Por lo que se realizaron cuestionarios a los pacientes de SANNAFARM con la finalidad de conocer la calidad en la atención que recibieron.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 xml:space="preserve">Revisar el indicador del componente: Servicios de rehabilitación por consumo de sustancias psicoactivas brindados en modalidad de semi internamiento, ya que en su fórmula mide un </w:t>
            </w:r>
            <w:proofErr w:type="gramStart"/>
            <w:r w:rsidRPr="00314725">
              <w:rPr>
                <w:color w:val="000000"/>
                <w:sz w:val="16"/>
                <w:szCs w:val="16"/>
                <w:lang w:val="es-MX"/>
              </w:rPr>
              <w:t>promedio</w:t>
            </w:r>
            <w:proofErr w:type="gramEnd"/>
            <w:r w:rsidRPr="00314725">
              <w:rPr>
                <w:color w:val="000000"/>
                <w:sz w:val="16"/>
                <w:szCs w:val="16"/>
                <w:lang w:val="es-MX"/>
              </w:rPr>
              <w:t xml:space="preserve"> pero el nombre del indicador no pareciera ir de acuerdo a la fórmula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Se recomienda incluir tasas de variación que midan el número de personas que concluyen su rehabilitación en relación a un año anterior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Incluir indicadores que midan cuantas personas concluyen su educación básica en relación a los que solicitan reiniciar su educación básica</w:t>
            </w:r>
          </w:p>
          <w:p w:rsidR="00314725" w:rsidRPr="00314725" w:rsidRDefault="00314725" w:rsidP="00314725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val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Recomendamos medir la relación entre pruebas con resultado positivo de todas las valoraciones médicas solicitadas</w:t>
            </w:r>
          </w:p>
          <w:p w:rsidR="006917FE" w:rsidRPr="00542CB0" w:rsidRDefault="00314725" w:rsidP="00FF61A4">
            <w:pPr>
              <w:pStyle w:val="Texto"/>
              <w:numPr>
                <w:ilvl w:val="0"/>
                <w:numId w:val="14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314725">
              <w:rPr>
                <w:color w:val="000000"/>
                <w:sz w:val="16"/>
                <w:szCs w:val="16"/>
                <w:lang w:val="es-MX"/>
              </w:rPr>
              <w:t>De igual modo se sugiere medir la asistencia de los pacientes de semi internamiento a sus sesiones.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2.2 </w:t>
            </w:r>
            <w:r w:rsidRPr="00E96012">
              <w:rPr>
                <w:color w:val="000000"/>
                <w:sz w:val="16"/>
                <w:szCs w:val="16"/>
                <w:lang w:eastAsia="es-MX"/>
              </w:rPr>
              <w:t>Señalar cuáles son las principales Fortalezas, Oportunidades, Debilidades y Amenazas (FODA), de acuerdo con los temas del programa, estrategia o instituciones.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2.2.1 Fortalezas:</w:t>
            </w:r>
          </w:p>
          <w:p w:rsidR="00536250" w:rsidRPr="00246BE6" w:rsidRDefault="00536250" w:rsidP="00BE5365">
            <w:pPr>
              <w:pStyle w:val="Texto"/>
              <w:spacing w:line="252" w:lineRule="exact"/>
              <w:ind w:firstLine="0"/>
              <w:rPr>
                <w:sz w:val="16"/>
                <w:szCs w:val="16"/>
              </w:rPr>
            </w:pPr>
            <w:r w:rsidRPr="00246BE6">
              <w:rPr>
                <w:sz w:val="16"/>
                <w:szCs w:val="16"/>
              </w:rPr>
              <w:t>Tiene un propósito definido</w:t>
            </w:r>
          </w:p>
          <w:p w:rsidR="00246BE6" w:rsidRDefault="00536250" w:rsidP="00314725">
            <w:pPr>
              <w:pStyle w:val="Texto"/>
              <w:numPr>
                <w:ilvl w:val="0"/>
                <w:numId w:val="12"/>
              </w:numPr>
              <w:spacing w:line="252" w:lineRule="exact"/>
              <w:rPr>
                <w:sz w:val="16"/>
                <w:szCs w:val="16"/>
              </w:rPr>
            </w:pPr>
            <w:r w:rsidRPr="00246BE6">
              <w:rPr>
                <w:sz w:val="16"/>
                <w:szCs w:val="16"/>
              </w:rPr>
              <w:t xml:space="preserve">Proporciona una atención profesional, con calidez digna de todo paciente </w:t>
            </w:r>
          </w:p>
          <w:p w:rsidR="00246BE6" w:rsidRPr="00246BE6" w:rsidRDefault="00536250" w:rsidP="00314725">
            <w:pPr>
              <w:pStyle w:val="Texto"/>
              <w:numPr>
                <w:ilvl w:val="0"/>
                <w:numId w:val="12"/>
              </w:numPr>
              <w:spacing w:line="252" w:lineRule="exact"/>
              <w:rPr>
                <w:sz w:val="16"/>
                <w:szCs w:val="16"/>
              </w:rPr>
            </w:pPr>
            <w:r w:rsidRPr="00246BE6">
              <w:rPr>
                <w:sz w:val="16"/>
                <w:szCs w:val="16"/>
              </w:rPr>
              <w:t xml:space="preserve">Cuenta con profesionales de la salud capacitados y comprometidos a brindar atención integral a los pacientes </w:t>
            </w:r>
          </w:p>
          <w:p w:rsidR="00E96012" w:rsidRPr="00542CB0" w:rsidRDefault="00536250" w:rsidP="00314725">
            <w:pPr>
              <w:pStyle w:val="Texto"/>
              <w:numPr>
                <w:ilvl w:val="0"/>
                <w:numId w:val="12"/>
              </w:numPr>
              <w:spacing w:line="252" w:lineRule="exact"/>
              <w:rPr>
                <w:color w:val="000000"/>
                <w:sz w:val="16"/>
                <w:szCs w:val="16"/>
              </w:rPr>
            </w:pPr>
            <w:r w:rsidRPr="00246BE6">
              <w:rPr>
                <w:sz w:val="16"/>
                <w:szCs w:val="16"/>
              </w:rPr>
              <w:t>Existe un ambiente laboral estrecho entre el personal administrativo y personal médico y operativo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2.2.2 Oportunidades:</w:t>
            </w:r>
          </w:p>
          <w:p w:rsidR="00246BE6" w:rsidRDefault="00246BE6" w:rsidP="00246BE6">
            <w:pPr>
              <w:pStyle w:val="Texto"/>
              <w:numPr>
                <w:ilvl w:val="0"/>
                <w:numId w:val="9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246BE6">
              <w:rPr>
                <w:color w:val="000000"/>
                <w:sz w:val="16"/>
                <w:szCs w:val="16"/>
                <w:lang w:eastAsia="es-MX"/>
              </w:rPr>
              <w:t>Ofrece al público diversos tipos de consultas enfocadas a la rehabilitación del paciente</w:t>
            </w:r>
          </w:p>
          <w:p w:rsidR="00E96012" w:rsidRPr="00BF2BFE" w:rsidRDefault="00246BE6" w:rsidP="00F952C2">
            <w:pPr>
              <w:pStyle w:val="Texto"/>
              <w:numPr>
                <w:ilvl w:val="0"/>
                <w:numId w:val="9"/>
              </w:numPr>
              <w:spacing w:line="252" w:lineRule="exact"/>
              <w:rPr>
                <w:color w:val="000000"/>
                <w:sz w:val="16"/>
                <w:szCs w:val="16"/>
              </w:rPr>
            </w:pPr>
            <w:r w:rsidRPr="00246BE6">
              <w:rPr>
                <w:color w:val="000000"/>
                <w:sz w:val="16"/>
                <w:szCs w:val="16"/>
                <w:lang w:eastAsia="es-MX"/>
              </w:rPr>
              <w:t>Cuenta con un universo de población de responsabilidad la cual atienden conforme a los recursos asignados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2.2.3 Debilidades:</w:t>
            </w:r>
          </w:p>
          <w:p w:rsidR="00246BE6" w:rsidRPr="00246BE6" w:rsidRDefault="00246BE6" w:rsidP="00246BE6">
            <w:pPr>
              <w:pStyle w:val="Texto"/>
              <w:numPr>
                <w:ilvl w:val="0"/>
                <w:numId w:val="10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246BE6">
              <w:rPr>
                <w:sz w:val="16"/>
                <w:szCs w:val="16"/>
              </w:rPr>
              <w:t>No cuenta con proceso para la evaluación de la percepción de los usuarios por los servicios recibidos</w:t>
            </w:r>
          </w:p>
          <w:p w:rsidR="001C6B56" w:rsidRPr="00542CB0" w:rsidRDefault="00246BE6" w:rsidP="00F952C2">
            <w:pPr>
              <w:pStyle w:val="Texto"/>
              <w:numPr>
                <w:ilvl w:val="0"/>
                <w:numId w:val="10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246BE6">
              <w:rPr>
                <w:sz w:val="16"/>
                <w:szCs w:val="16"/>
              </w:rPr>
              <w:t>No cuentan con espacios estructurales suficientes para realizar un ampliación en el servicio que proporcionan</w:t>
            </w:r>
          </w:p>
        </w:tc>
      </w:tr>
      <w:tr w:rsidR="00C77DAC" w:rsidRPr="00542CB0" w:rsidTr="00077BC9">
        <w:trPr>
          <w:trHeight w:val="143"/>
        </w:trPr>
        <w:tc>
          <w:tcPr>
            <w:tcW w:w="8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2.2.4 Amenazas:</w:t>
            </w:r>
          </w:p>
          <w:p w:rsidR="00314725" w:rsidRPr="00FF61A4" w:rsidRDefault="00F952C2" w:rsidP="00FF61A4">
            <w:pPr>
              <w:pStyle w:val="Texto"/>
              <w:numPr>
                <w:ilvl w:val="0"/>
                <w:numId w:val="11"/>
              </w:numPr>
              <w:spacing w:line="252" w:lineRule="exact"/>
              <w:rPr>
                <w:color w:val="000000"/>
                <w:sz w:val="16"/>
                <w:szCs w:val="16"/>
              </w:rPr>
            </w:pPr>
            <w:r w:rsidRPr="00FF61A4">
              <w:rPr>
                <w:sz w:val="16"/>
                <w:szCs w:val="16"/>
              </w:rPr>
              <w:t>No cuenta con un sistema de seguimiento a los pacientes, especialmente a los que no concluyeron con su tratamiento</w:t>
            </w:r>
          </w:p>
          <w:p w:rsidR="00FF61A4" w:rsidRDefault="00FF61A4" w:rsidP="00FF61A4">
            <w:pPr>
              <w:pStyle w:val="Texto"/>
              <w:spacing w:line="252" w:lineRule="exact"/>
              <w:rPr>
                <w:color w:val="000000"/>
                <w:sz w:val="16"/>
                <w:szCs w:val="16"/>
              </w:rPr>
            </w:pPr>
          </w:p>
          <w:p w:rsidR="00FF61A4" w:rsidRPr="00542CB0" w:rsidRDefault="00FF61A4" w:rsidP="00FF61A4">
            <w:pPr>
              <w:pStyle w:val="Texto"/>
              <w:spacing w:line="252" w:lineRule="exact"/>
              <w:rPr>
                <w:color w:val="000000"/>
                <w:sz w:val="16"/>
                <w:szCs w:val="16"/>
              </w:rPr>
            </w:pPr>
          </w:p>
        </w:tc>
      </w:tr>
    </w:tbl>
    <w:p w:rsidR="00B77149" w:rsidRDefault="00B77149" w:rsidP="001D3B17">
      <w:pPr>
        <w:pStyle w:val="ROMANOS"/>
        <w:spacing w:line="278" w:lineRule="exact"/>
        <w:rPr>
          <w:sz w:val="10"/>
          <w:lang w:val="es-MX"/>
        </w:rPr>
      </w:pPr>
    </w:p>
    <w:p w:rsidR="006917FE" w:rsidRDefault="006917FE" w:rsidP="00077BC9">
      <w:pPr>
        <w:pStyle w:val="ROMANOS"/>
        <w:spacing w:line="278" w:lineRule="exact"/>
        <w:ind w:left="0" w:firstLine="0"/>
        <w:rPr>
          <w:sz w:val="10"/>
          <w:lang w:val="es-MX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76"/>
        <w:gridCol w:w="12"/>
        <w:gridCol w:w="1821"/>
        <w:gridCol w:w="1162"/>
        <w:gridCol w:w="47"/>
        <w:gridCol w:w="113"/>
        <w:gridCol w:w="558"/>
        <w:gridCol w:w="630"/>
        <w:gridCol w:w="1146"/>
        <w:gridCol w:w="92"/>
        <w:gridCol w:w="1086"/>
        <w:gridCol w:w="46"/>
        <w:gridCol w:w="1076"/>
      </w:tblGrid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3.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Conclusiones y recomendaciones de la evaluación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952C2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DD59EC">
              <w:rPr>
                <w:color w:val="000000"/>
                <w:sz w:val="16"/>
                <w:szCs w:val="16"/>
                <w:lang w:eastAsia="es-MX"/>
              </w:rPr>
              <w:t>3.1 Describir brevemente las conclusiones de la evaluación:</w:t>
            </w:r>
          </w:p>
          <w:p w:rsidR="00F952C2" w:rsidRPr="00DD59EC" w:rsidRDefault="00C77DAC" w:rsidP="0031472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val="es-MX"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 w:rsidR="00F952C2" w:rsidRPr="00F952C2">
              <w:rPr>
                <w:sz w:val="16"/>
                <w:szCs w:val="16"/>
              </w:rPr>
              <w:t xml:space="preserve">Hemos llegado al rubro de conclusión, por lo que podemos aseverar que de la revisión, consideraciones, recomendaciones y observaciones, realizadas se considera que el Programa 135 Prevención y Atención a las Adicciones, cuyo objetivo consiste en proporcionar al paciente consumidor de sustancias psicoactivas tratamiento profesional, multidisciplinario e integral que le permita reconocer sus factores de riesgo y protectores que influyan en el consumo de las sustancias psicoactivas para lograr su abstinencia, rehabilitación física, emocional y espiritual y así alcanzar su reinserción social exitosa; cumple con el objetivo para el cual fue creado. Sin </w:t>
            </w:r>
            <w:r w:rsidR="00314725" w:rsidRPr="00F952C2">
              <w:rPr>
                <w:sz w:val="16"/>
                <w:szCs w:val="16"/>
              </w:rPr>
              <w:t>embargo,</w:t>
            </w:r>
            <w:r w:rsidR="00F952C2" w:rsidRPr="00F952C2">
              <w:rPr>
                <w:sz w:val="16"/>
                <w:szCs w:val="16"/>
              </w:rPr>
              <w:t xml:space="preserve"> es importante señalar que existen Aspectos Susceptibles de Mejora, a los cuales debe darle seguimiento el Organismo evaluado, mismos que han quedado insertos en el contenido de la presente evaluación externa.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3.2 Describir las recomendaciones de acuerdo a su relevancia: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2D63EA" w:rsidRDefault="00EF698D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2D63EA">
              <w:rPr>
                <w:sz w:val="16"/>
                <w:szCs w:val="16"/>
              </w:rPr>
              <w:t>Tener un documento que contenga información actual de las diferentes áreas, así como de las atribuciones de cada una de ellas.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2D63EA" w:rsidRDefault="002D63EA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2D63EA">
              <w:rPr>
                <w:sz w:val="16"/>
                <w:szCs w:val="16"/>
              </w:rPr>
              <w:t>Poseer la normatividad necesaria para la correcta ejecución de los Programas y funciones de cada área del Hospital.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7374C7" w:rsidRDefault="007374C7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7374C7">
              <w:rPr>
                <w:sz w:val="16"/>
                <w:szCs w:val="16"/>
              </w:rPr>
              <w:t>Contar con un documento que brinde la información de forma clara, precisa y que cuente con todos los rubros necesarios, que requiere un programa.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7374C7" w:rsidRDefault="007374C7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7374C7">
              <w:rPr>
                <w:sz w:val="16"/>
                <w:szCs w:val="16"/>
              </w:rPr>
              <w:t>Revisar y mejorar la redacción del Resumen narrativo a nivel propósito.</w:t>
            </w:r>
          </w:p>
        </w:tc>
      </w:tr>
      <w:tr w:rsidR="00C77DAC" w:rsidRPr="00542CB0" w:rsidTr="006917FE">
        <w:trPr>
          <w:trHeight w:val="215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7374C7" w:rsidRDefault="007374C7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7374C7">
              <w:rPr>
                <w:sz w:val="16"/>
                <w:szCs w:val="16"/>
              </w:rPr>
              <w:t>Agregar las sesiones de perspectiva de género (de ser necesario) a cada componente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B566E1" w:rsidRDefault="007374C7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B566E1">
              <w:rPr>
                <w:sz w:val="16"/>
                <w:szCs w:val="16"/>
              </w:rPr>
              <w:t>Agregar una actividad donde se mencione la atención brindada a las personas con discapacidad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B566E1" w:rsidRDefault="007374C7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B566E1">
              <w:rPr>
                <w:sz w:val="16"/>
                <w:szCs w:val="16"/>
              </w:rPr>
              <w:t xml:space="preserve">Revisar y mejorar </w:t>
            </w:r>
            <w:r w:rsidRPr="00314725">
              <w:rPr>
                <w:sz w:val="16"/>
                <w:szCs w:val="16"/>
              </w:rPr>
              <w:t xml:space="preserve">la </w:t>
            </w:r>
            <w:r w:rsidR="00B566E1" w:rsidRPr="00314725">
              <w:rPr>
                <w:sz w:val="16"/>
                <w:szCs w:val="16"/>
              </w:rPr>
              <w:t>redacc</w:t>
            </w:r>
            <w:r w:rsidRPr="00314725">
              <w:rPr>
                <w:sz w:val="16"/>
                <w:szCs w:val="16"/>
              </w:rPr>
              <w:t>ión de</w:t>
            </w:r>
            <w:r w:rsidRPr="00B566E1">
              <w:rPr>
                <w:sz w:val="16"/>
                <w:szCs w:val="16"/>
              </w:rPr>
              <w:t xml:space="preserve"> fuentes y medios de verificación</w:t>
            </w:r>
          </w:p>
        </w:tc>
      </w:tr>
      <w:tr w:rsidR="00DD59E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D59EC" w:rsidRPr="00B566E1" w:rsidRDefault="00B566E1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B566E1">
              <w:rPr>
                <w:sz w:val="16"/>
                <w:szCs w:val="16"/>
              </w:rPr>
              <w:t>Agregar el rango de edades de la población a nivel propósito</w:t>
            </w:r>
          </w:p>
        </w:tc>
      </w:tr>
      <w:tr w:rsidR="00DD59E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D59EC" w:rsidRPr="00B566E1" w:rsidRDefault="00B566E1" w:rsidP="00314725">
            <w:pPr>
              <w:pStyle w:val="Texto"/>
              <w:numPr>
                <w:ilvl w:val="0"/>
                <w:numId w:val="13"/>
              </w:numPr>
              <w:spacing w:line="252" w:lineRule="exact"/>
              <w:rPr>
                <w:color w:val="000000"/>
                <w:sz w:val="16"/>
                <w:szCs w:val="16"/>
                <w:lang w:eastAsia="es-MX"/>
              </w:rPr>
            </w:pPr>
            <w:r w:rsidRPr="00B566E1">
              <w:rPr>
                <w:sz w:val="16"/>
                <w:szCs w:val="16"/>
              </w:rPr>
              <w:t xml:space="preserve">Revisar y mejorar el indicador de propósito de tal manera que mida el porcentaje de </w:t>
            </w:r>
            <w:proofErr w:type="gramStart"/>
            <w:r w:rsidRPr="00B566E1">
              <w:rPr>
                <w:sz w:val="16"/>
                <w:szCs w:val="16"/>
              </w:rPr>
              <w:t>personas  que</w:t>
            </w:r>
            <w:proofErr w:type="gramEnd"/>
            <w:r w:rsidRPr="00B566E1">
              <w:rPr>
                <w:sz w:val="16"/>
                <w:szCs w:val="16"/>
              </w:rPr>
              <w:t xml:space="preserve"> concluyen su tratamiento</w:t>
            </w:r>
          </w:p>
        </w:tc>
      </w:tr>
      <w:tr w:rsidR="00C77DAC" w:rsidRPr="00542CB0" w:rsidTr="00BE5365">
        <w:trPr>
          <w:trHeight w:val="144"/>
        </w:trPr>
        <w:tc>
          <w:tcPr>
            <w:tcW w:w="547" w:type="dxa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9" w:type="dxa"/>
            <w:gridSpan w:val="3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C77DAC" w:rsidRPr="00542CB0" w:rsidTr="00BE5365">
        <w:trPr>
          <w:trHeight w:val="144"/>
        </w:trPr>
        <w:tc>
          <w:tcPr>
            <w:tcW w:w="6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4.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Datos de la Instancia evaluadora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DD59EC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4.1 Nombre del coordinador de la evaluación:</w:t>
            </w:r>
            <w:r w:rsidR="00BF2BFE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C77DAC" w:rsidRPr="00542CB0" w:rsidRDefault="004E1363" w:rsidP="00DD59EC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E1363">
              <w:rPr>
                <w:color w:val="000000"/>
                <w:sz w:val="16"/>
                <w:szCs w:val="16"/>
                <w:lang w:val="es-MX"/>
              </w:rPr>
              <w:t xml:space="preserve">Mtra. Rosa Lourdes Díaz Centurión 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40F3">
              <w:rPr>
                <w:color w:val="000000"/>
                <w:sz w:val="16"/>
                <w:szCs w:val="16"/>
                <w:lang w:eastAsia="es-MX"/>
              </w:rPr>
              <w:t>4.2 Cargo:</w:t>
            </w:r>
          </w:p>
          <w:p w:rsidR="00C77DAC" w:rsidRPr="00542CB0" w:rsidRDefault="00BC40F3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Evaluador externo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40F3">
              <w:rPr>
                <w:color w:val="000000"/>
                <w:sz w:val="16"/>
                <w:szCs w:val="16"/>
                <w:lang w:eastAsia="es-MX"/>
              </w:rPr>
              <w:t>4.3 Institución a la que pertenece:</w:t>
            </w:r>
            <w:r w:rsidR="00BC40F3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C77DAC" w:rsidRPr="00542CB0" w:rsidRDefault="00BC40F3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Servicios Profesionales, Contabilidad, Administración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F2BFE" w:rsidRDefault="00C77DAC" w:rsidP="00DD59EC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4.4 Principales colaboradores:</w:t>
            </w:r>
            <w:r w:rsidR="00BF2BFE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C77DAC" w:rsidRDefault="00BF2BFE" w:rsidP="00DD59EC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>
              <w:rPr>
                <w:color w:val="000000"/>
                <w:sz w:val="16"/>
                <w:szCs w:val="16"/>
                <w:lang w:val="es-MX"/>
              </w:rPr>
              <w:t>L.A.F</w:t>
            </w:r>
            <w:r w:rsidR="004E1363" w:rsidRPr="004E1363">
              <w:rPr>
                <w:color w:val="000000"/>
                <w:sz w:val="16"/>
                <w:szCs w:val="16"/>
                <w:lang w:val="es-MX"/>
              </w:rPr>
              <w:t xml:space="preserve">. Eugenia Margarita Cruz </w:t>
            </w:r>
            <w:proofErr w:type="spellStart"/>
            <w:r w:rsidR="004E1363" w:rsidRPr="004E1363">
              <w:rPr>
                <w:color w:val="000000"/>
                <w:sz w:val="16"/>
                <w:szCs w:val="16"/>
                <w:lang w:val="es-MX"/>
              </w:rPr>
              <w:t>Cú</w:t>
            </w:r>
            <w:proofErr w:type="spellEnd"/>
          </w:p>
          <w:p w:rsidR="00BF2BFE" w:rsidRPr="004E1363" w:rsidRDefault="00BF2BFE" w:rsidP="00DD59EC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val="es-MX" w:eastAsia="es-MX"/>
              </w:rPr>
            </w:pPr>
            <w:r w:rsidRPr="00BF2BFE">
              <w:rPr>
                <w:color w:val="000000"/>
                <w:sz w:val="16"/>
                <w:szCs w:val="16"/>
                <w:lang w:eastAsia="es-MX"/>
              </w:rPr>
              <w:t xml:space="preserve">C.P. </w:t>
            </w:r>
            <w:proofErr w:type="spellStart"/>
            <w:r w:rsidRPr="00BF2BFE">
              <w:rPr>
                <w:color w:val="000000"/>
                <w:sz w:val="16"/>
                <w:szCs w:val="16"/>
                <w:lang w:eastAsia="es-MX"/>
              </w:rPr>
              <w:t>Arneris</w:t>
            </w:r>
            <w:proofErr w:type="spellEnd"/>
            <w:r w:rsidRPr="00BF2BFE">
              <w:rPr>
                <w:color w:val="000000"/>
                <w:sz w:val="16"/>
                <w:szCs w:val="16"/>
                <w:lang w:eastAsia="es-MX"/>
              </w:rPr>
              <w:t xml:space="preserve"> del C. Martínez </w:t>
            </w:r>
            <w:proofErr w:type="spellStart"/>
            <w:r w:rsidRPr="00BF2BFE">
              <w:rPr>
                <w:color w:val="000000"/>
                <w:sz w:val="16"/>
                <w:szCs w:val="16"/>
                <w:lang w:eastAsia="es-MX"/>
              </w:rPr>
              <w:t>Cosgaya</w:t>
            </w:r>
            <w:proofErr w:type="spellEnd"/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</w:t>
            </w:r>
            <w:r w:rsidRPr="00BC40F3">
              <w:rPr>
                <w:color w:val="000000"/>
                <w:sz w:val="16"/>
                <w:szCs w:val="16"/>
                <w:lang w:eastAsia="es-MX"/>
              </w:rPr>
              <w:t>5 Correo electrónico del coordinador de la evaluación:</w:t>
            </w:r>
            <w:r w:rsidR="00BC40F3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C77DAC" w:rsidRPr="00542CB0" w:rsidRDefault="00BC40F3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rlourdesdiaz@hotmail.com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4.6 </w:t>
            </w:r>
            <w:r w:rsidRPr="00BC40F3">
              <w:rPr>
                <w:color w:val="000000"/>
                <w:sz w:val="16"/>
                <w:szCs w:val="16"/>
                <w:lang w:eastAsia="es-MX"/>
              </w:rPr>
              <w:t>Teléfono (con clave lada):</w:t>
            </w:r>
          </w:p>
          <w:p w:rsidR="00C77DAC" w:rsidRDefault="00BC40F3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0449818193835</w:t>
            </w:r>
          </w:p>
          <w:p w:rsidR="00FF61A4" w:rsidRPr="00542CB0" w:rsidRDefault="00FF61A4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</w:tr>
      <w:tr w:rsidR="00C77DAC" w:rsidRPr="00542CB0" w:rsidTr="00BE5365">
        <w:trPr>
          <w:trHeight w:val="144"/>
        </w:trPr>
        <w:tc>
          <w:tcPr>
            <w:tcW w:w="9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C77DAC" w:rsidRPr="00542CB0" w:rsidTr="00BE5365">
        <w:trPr>
          <w:trHeight w:val="144"/>
        </w:trPr>
        <w:tc>
          <w:tcPr>
            <w:tcW w:w="6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Identificación del (los) programa(s)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5.1 Nombre del (los) programa(s) evaluado(s):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C21EE" w:rsidRPr="00BC21EE">
              <w:rPr>
                <w:color w:val="000000"/>
                <w:sz w:val="16"/>
                <w:szCs w:val="16"/>
                <w:lang w:eastAsia="es-MX"/>
              </w:rPr>
              <w:t>135 PREVENCIÓN Y ATENCIÓN A LAS ADICCIONES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5.2 Siglas: 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5.3 Ente público coordinador del (los) programa(s): </w:t>
            </w:r>
            <w:r w:rsidR="00BC21EE" w:rsidRPr="00BC21EE">
              <w:rPr>
                <w:color w:val="000000"/>
                <w:sz w:val="16"/>
                <w:szCs w:val="16"/>
                <w:lang w:eastAsia="es-MX"/>
              </w:rPr>
              <w:t>Sistema de Atención a Niños, Niñas y Adolescentes farmacodependientes del Estado de Ca</w:t>
            </w:r>
            <w:r w:rsidR="00BC21EE">
              <w:rPr>
                <w:color w:val="000000"/>
                <w:sz w:val="16"/>
                <w:szCs w:val="16"/>
                <w:lang w:eastAsia="es-MX"/>
              </w:rPr>
              <w:t>mpeche, SANNAFARM, “Vida Nueva”</w:t>
            </w:r>
          </w:p>
        </w:tc>
      </w:tr>
      <w:tr w:rsidR="00C77DAC" w:rsidRPr="00542CB0" w:rsidTr="00BE5365">
        <w:trPr>
          <w:trHeight w:val="144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5.4 Poder público al que pertenece(n) el(los) programa(s):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Poder Ejecutivo_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__ Poder Legislativo___ Poder Judicial___ Ente Autónomo___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5.5 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Á</w:t>
            </w:r>
            <w:r w:rsidR="004E1363" w:rsidRPr="00542CB0">
              <w:rPr>
                <w:color w:val="000000"/>
                <w:sz w:val="16"/>
                <w:szCs w:val="16"/>
                <w:lang w:eastAsia="es-MX"/>
              </w:rPr>
              <w:t>mbito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gubernamental al que pertenece(n) el(los) programa(s):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Federal___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Estatal_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__ Local___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Pr="00BC40F3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40F3">
              <w:rPr>
                <w:color w:val="000000"/>
                <w:sz w:val="16"/>
                <w:szCs w:val="16"/>
                <w:lang w:eastAsia="es-MX"/>
              </w:rPr>
              <w:t>5.6 Nombre de la(s) unidad(es) administrativa(s) y de (los) titular(es) a cargo del (los) programa(s):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AC" w:rsidRPr="00BC40F3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40F3">
              <w:rPr>
                <w:color w:val="000000"/>
                <w:sz w:val="16"/>
                <w:szCs w:val="16"/>
                <w:lang w:eastAsia="es-MX"/>
              </w:rPr>
              <w:t>5.6.1 Nombre(s) de la(s) unidad(es) administrativa(s) a cargo de (los) programa(s):</w:t>
            </w:r>
          </w:p>
        </w:tc>
      </w:tr>
      <w:tr w:rsidR="0028754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54C" w:rsidRPr="00542CB0" w:rsidRDefault="00314725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9668B8">
              <w:rPr>
                <w:color w:val="000000"/>
                <w:sz w:val="16"/>
                <w:szCs w:val="16"/>
                <w:lang w:eastAsia="es-MX"/>
              </w:rPr>
              <w:t>5.6.2 Nombre(s) de (los) titular(es) de la(s) unidad(es) administrativa(s) a cargo de (los) programa(s) (nombre completo, correo electrónico y teléfono con clave lada):</w:t>
            </w:r>
          </w:p>
        </w:tc>
      </w:tr>
      <w:tr w:rsidR="00C77DAC" w:rsidRPr="00542CB0" w:rsidTr="00BE5365">
        <w:trPr>
          <w:trHeight w:val="20"/>
        </w:trPr>
        <w:tc>
          <w:tcPr>
            <w:tcW w:w="3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25" w:rsidRDefault="00C77DAC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</w:p>
          <w:p w:rsidR="00973FC2" w:rsidRDefault="00BC40F3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4725">
              <w:rPr>
                <w:color w:val="000000"/>
                <w:sz w:val="16"/>
                <w:szCs w:val="16"/>
                <w:lang w:eastAsia="es-MX"/>
              </w:rPr>
              <w:t>Dr. Gilberto César García Salazar</w:t>
            </w:r>
          </w:p>
          <w:p w:rsidR="00314725" w:rsidRDefault="00314725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86540C">
                <w:rPr>
                  <w:rStyle w:val="Hipervnculo"/>
                  <w:sz w:val="16"/>
                  <w:szCs w:val="16"/>
                  <w:lang w:eastAsia="es-MX"/>
                </w:rPr>
                <w:t>vidanuevacampeche@hotmail.com</w:t>
              </w:r>
            </w:hyperlink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314725" w:rsidRDefault="00314725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019818120690</w:t>
            </w:r>
          </w:p>
          <w:p w:rsidR="00314725" w:rsidRDefault="00314725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019818120768</w:t>
            </w:r>
          </w:p>
          <w:p w:rsidR="00314725" w:rsidRPr="00542CB0" w:rsidRDefault="00314725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</w:p>
          <w:p w:rsidR="00314725" w:rsidRPr="00542CB0" w:rsidRDefault="00314725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C77DAC" w:rsidRPr="00542CB0" w:rsidTr="00BE5365">
        <w:trPr>
          <w:trHeight w:val="20"/>
        </w:trPr>
        <w:tc>
          <w:tcPr>
            <w:tcW w:w="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9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C77DAC" w:rsidRPr="008A7F8A" w:rsidTr="00BE5365">
        <w:trPr>
          <w:trHeight w:val="20"/>
        </w:trPr>
        <w:tc>
          <w:tcPr>
            <w:tcW w:w="75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6. Datos de Contratación de la Evaluación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 Tipo de contratación: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6.1.1 Adjudicación Directa_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X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__ 6.1.2 Invitación a tres___ 6.1.3 Licitación Pública Nacional___</w:t>
            </w:r>
          </w:p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6.1.4 Licitación Pública Internacional___ 6.1.5 Otro: (Señalar)___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6.2 Unidad administrativa responsable de contratar la evaluación:</w:t>
            </w:r>
          </w:p>
          <w:p w:rsidR="00314725" w:rsidRPr="00542CB0" w:rsidRDefault="00314725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Dirección General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6.3 Costo total de la evaluación:</w:t>
            </w:r>
          </w:p>
          <w:p w:rsidR="00C77DAC" w:rsidRPr="00542CB0" w:rsidRDefault="00C77DAC" w:rsidP="00BF2BFE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$</w:t>
            </w:r>
            <w:r w:rsidR="00314725">
              <w:rPr>
                <w:color w:val="000000"/>
                <w:sz w:val="16"/>
                <w:szCs w:val="16"/>
                <w:lang w:eastAsia="es-MX"/>
              </w:rPr>
              <w:t>40,344.82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E1363">
              <w:rPr>
                <w:color w:val="000000"/>
                <w:sz w:val="16"/>
                <w:szCs w:val="16"/>
                <w:lang w:eastAsia="es-MX"/>
              </w:rPr>
              <w:t>más IVA.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4725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E96012">
              <w:rPr>
                <w:color w:val="000000"/>
                <w:sz w:val="16"/>
                <w:szCs w:val="16"/>
                <w:lang w:eastAsia="es-MX"/>
              </w:rPr>
              <w:t xml:space="preserve">6.4 Fuente de </w:t>
            </w:r>
            <w:r w:rsidR="00314725" w:rsidRPr="00E96012">
              <w:rPr>
                <w:color w:val="000000"/>
                <w:sz w:val="16"/>
                <w:szCs w:val="16"/>
                <w:lang w:eastAsia="es-MX"/>
              </w:rPr>
              <w:t>Financiamiento: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  <w:p w:rsidR="00C77DAC" w:rsidRPr="00542CB0" w:rsidRDefault="00E96012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Recurso Estatal</w:t>
            </w:r>
          </w:p>
        </w:tc>
      </w:tr>
      <w:tr w:rsidR="00C77DAC" w:rsidRPr="00542CB0" w:rsidTr="00BE5365">
        <w:trPr>
          <w:trHeight w:val="20"/>
        </w:trPr>
        <w:tc>
          <w:tcPr>
            <w:tcW w:w="9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C77DAC" w:rsidRPr="008A7F8A" w:rsidTr="00BE5365">
        <w:trPr>
          <w:trHeight w:val="20"/>
        </w:trPr>
        <w:tc>
          <w:tcPr>
            <w:tcW w:w="46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7. Difusión de la evaluación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C77DAC" w:rsidRPr="008A7F8A" w:rsidRDefault="00C77DAC" w:rsidP="00BE5365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4813">
              <w:rPr>
                <w:color w:val="000000"/>
                <w:sz w:val="16"/>
                <w:szCs w:val="16"/>
                <w:highlight w:val="yellow"/>
                <w:lang w:eastAsia="es-MX"/>
              </w:rPr>
              <w:t>7.1 Difusión en internet de la evaluación:</w:t>
            </w:r>
          </w:p>
        </w:tc>
      </w:tr>
      <w:tr w:rsidR="00C77DAC" w:rsidRPr="00542CB0" w:rsidTr="00BE5365"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77DAC" w:rsidRPr="00542CB0" w:rsidRDefault="00C77DAC" w:rsidP="00BE5365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4813">
              <w:rPr>
                <w:color w:val="000000"/>
                <w:sz w:val="16"/>
                <w:szCs w:val="16"/>
                <w:highlight w:val="yellow"/>
                <w:lang w:eastAsia="es-MX"/>
              </w:rPr>
              <w:t>7.2 Difusión en internet del formato:</w:t>
            </w:r>
          </w:p>
        </w:tc>
      </w:tr>
    </w:tbl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C77DAC" w:rsidRDefault="00C77DAC" w:rsidP="001D3B17">
      <w:pPr>
        <w:pStyle w:val="ROMANOS"/>
        <w:spacing w:line="278" w:lineRule="exact"/>
      </w:pPr>
    </w:p>
    <w:p w:rsidR="00544813" w:rsidRDefault="00544813" w:rsidP="001D3B17">
      <w:pPr>
        <w:pStyle w:val="ROMANOS"/>
        <w:spacing w:line="278" w:lineRule="exact"/>
      </w:pPr>
    </w:p>
    <w:p w:rsidR="00544813" w:rsidRDefault="00544813" w:rsidP="001D3B17">
      <w:pPr>
        <w:pStyle w:val="ROMANOS"/>
        <w:spacing w:line="278" w:lineRule="exact"/>
      </w:pPr>
    </w:p>
    <w:p w:rsidR="00544813" w:rsidRPr="00C77DAC" w:rsidRDefault="00544813" w:rsidP="001D3B17">
      <w:pPr>
        <w:pStyle w:val="ROMANOS"/>
        <w:spacing w:line="278" w:lineRule="exact"/>
      </w:pPr>
    </w:p>
    <w:p w:rsidR="00C77DAC" w:rsidRDefault="00C77DAC" w:rsidP="00077BC9">
      <w:pPr>
        <w:pStyle w:val="ROMANOS"/>
        <w:spacing w:line="278" w:lineRule="exact"/>
        <w:ind w:left="0" w:firstLine="0"/>
        <w:rPr>
          <w:lang w:val="es-MX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</w:tblGrid>
      <w:tr w:rsidR="00CA329E" w:rsidTr="00222A39">
        <w:tc>
          <w:tcPr>
            <w:tcW w:w="3227" w:type="dxa"/>
          </w:tcPr>
          <w:p w:rsidR="00CA329E" w:rsidRPr="0028754C" w:rsidRDefault="00CA329E" w:rsidP="00222A39">
            <w:pPr>
              <w:pStyle w:val="ROMANOS"/>
              <w:spacing w:line="278" w:lineRule="exact"/>
              <w:ind w:left="0" w:firstLine="0"/>
              <w:rPr>
                <w:b/>
                <w:sz w:val="16"/>
                <w:szCs w:val="16"/>
                <w:lang w:val="es-MX"/>
              </w:rPr>
            </w:pPr>
            <w:r w:rsidRPr="0028754C">
              <w:rPr>
                <w:b/>
                <w:sz w:val="16"/>
                <w:szCs w:val="16"/>
                <w:lang w:val="es-MX"/>
              </w:rPr>
              <w:t>RESPONSABLE DE LA INFORMACIÓN</w:t>
            </w:r>
          </w:p>
          <w:p w:rsidR="00CA329E" w:rsidRDefault="00CA329E" w:rsidP="00222A39">
            <w:pPr>
              <w:pStyle w:val="ROMANOS"/>
              <w:spacing w:line="278" w:lineRule="exact"/>
              <w:ind w:left="0" w:firstLine="0"/>
              <w:rPr>
                <w:lang w:val="es-MX"/>
              </w:rPr>
            </w:pPr>
          </w:p>
        </w:tc>
        <w:tc>
          <w:tcPr>
            <w:tcW w:w="3260" w:type="dxa"/>
          </w:tcPr>
          <w:p w:rsidR="00CA329E" w:rsidRPr="0028754C" w:rsidRDefault="00CA329E" w:rsidP="00222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754C">
              <w:rPr>
                <w:rFonts w:ascii="Arial" w:hAnsi="Arial" w:cs="Arial"/>
                <w:b/>
                <w:sz w:val="16"/>
                <w:szCs w:val="16"/>
              </w:rPr>
              <w:t>VO.BO.</w:t>
            </w:r>
          </w:p>
          <w:p w:rsidR="00CA329E" w:rsidRPr="0028754C" w:rsidRDefault="00CA329E" w:rsidP="00222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329E" w:rsidRPr="0028754C" w:rsidRDefault="00CA329E" w:rsidP="00222A39">
            <w:pPr>
              <w:pStyle w:val="ROMANOS"/>
              <w:spacing w:line="278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977" w:type="dxa"/>
          </w:tcPr>
          <w:p w:rsidR="00CA329E" w:rsidRPr="0028754C" w:rsidRDefault="00CA329E" w:rsidP="00222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754C">
              <w:rPr>
                <w:rFonts w:ascii="Arial" w:hAnsi="Arial" w:cs="Arial"/>
                <w:b/>
                <w:sz w:val="16"/>
                <w:szCs w:val="16"/>
              </w:rPr>
              <w:t>AUTORIZÓ</w:t>
            </w:r>
          </w:p>
          <w:p w:rsidR="00CA329E" w:rsidRPr="0028754C" w:rsidRDefault="00CA329E" w:rsidP="00222A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A329E" w:rsidRPr="0028754C" w:rsidRDefault="00CA329E" w:rsidP="00222A39">
            <w:pPr>
              <w:pStyle w:val="ROMANOS"/>
              <w:spacing w:line="278" w:lineRule="exact"/>
              <w:ind w:left="0" w:firstLine="0"/>
              <w:rPr>
                <w:b/>
                <w:lang w:val="es-MX"/>
              </w:rPr>
            </w:pPr>
          </w:p>
        </w:tc>
      </w:tr>
      <w:tr w:rsidR="00CA329E" w:rsidTr="00222A39">
        <w:tc>
          <w:tcPr>
            <w:tcW w:w="3227" w:type="dxa"/>
          </w:tcPr>
          <w:p w:rsidR="00CA329E" w:rsidRDefault="00CA329E" w:rsidP="00222A39">
            <w:pPr>
              <w:pStyle w:val="ROMANOS"/>
              <w:spacing w:line="278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Nombre, Cargo y Firma</w:t>
            </w:r>
          </w:p>
          <w:p w:rsidR="00CA329E" w:rsidRDefault="00CA329E" w:rsidP="00222A39">
            <w:pPr>
              <w:pStyle w:val="ROMANOS"/>
              <w:spacing w:line="278" w:lineRule="exact"/>
              <w:ind w:left="0" w:firstLine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260" w:type="dxa"/>
          </w:tcPr>
          <w:p w:rsidR="00CA329E" w:rsidRDefault="00CA329E" w:rsidP="00222A39">
            <w:pPr>
              <w:pStyle w:val="ROMANOS"/>
              <w:spacing w:line="278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Nombre, Cargo y Firma</w:t>
            </w:r>
          </w:p>
          <w:p w:rsidR="00CA329E" w:rsidRPr="00027FE7" w:rsidRDefault="00CA329E" w:rsidP="00222A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CA329E" w:rsidRDefault="00CA329E" w:rsidP="00222A39">
            <w:pPr>
              <w:pStyle w:val="ROMANOS"/>
              <w:spacing w:line="278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Nombre, Cargo y Firma</w:t>
            </w:r>
          </w:p>
          <w:p w:rsidR="00CA329E" w:rsidRDefault="00CA329E" w:rsidP="00222A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29A8" w:rsidRDefault="005029A8" w:rsidP="00077BC9">
      <w:pPr>
        <w:pStyle w:val="ROMANOS"/>
        <w:spacing w:line="278" w:lineRule="exact"/>
        <w:ind w:left="0" w:firstLine="0"/>
        <w:rPr>
          <w:lang w:val="es-MX"/>
        </w:rPr>
      </w:pPr>
    </w:p>
    <w:sectPr w:rsidR="005029A8" w:rsidSect="00487C4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51" w:rsidRDefault="00476C51" w:rsidP="005029A8">
      <w:r>
        <w:separator/>
      </w:r>
    </w:p>
  </w:endnote>
  <w:endnote w:type="continuationSeparator" w:id="0">
    <w:p w:rsidR="00476C51" w:rsidRDefault="00476C51" w:rsidP="0050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51" w:rsidRDefault="00476C51" w:rsidP="005029A8">
      <w:r>
        <w:separator/>
      </w:r>
    </w:p>
  </w:footnote>
  <w:footnote w:type="continuationSeparator" w:id="0">
    <w:p w:rsidR="00476C51" w:rsidRDefault="00476C51" w:rsidP="0050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81"/>
      <w:gridCol w:w="5643"/>
      <w:gridCol w:w="2690"/>
    </w:tblGrid>
    <w:tr w:rsidR="00544813" w:rsidTr="00327A3F">
      <w:trPr>
        <w:trHeight w:val="1475"/>
      </w:trPr>
      <w:tc>
        <w:tcPr>
          <w:tcW w:w="1881" w:type="dxa"/>
          <w:vAlign w:val="center"/>
        </w:tcPr>
        <w:p w:rsidR="00544813" w:rsidRDefault="00544813" w:rsidP="00327A3F">
          <w:pPr>
            <w:pStyle w:val="Encabezado"/>
            <w:jc w:val="center"/>
          </w:pPr>
          <w:r>
            <w:rPr>
              <w:noProof/>
              <w:lang w:val="es-MX"/>
            </w:rPr>
            <w:drawing>
              <wp:inline distT="0" distB="0" distL="0" distR="0">
                <wp:extent cx="456126" cy="617787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COLOR H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59" cy="627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3" w:type="dxa"/>
          <w:vAlign w:val="center"/>
        </w:tcPr>
        <w:p w:rsidR="00544813" w:rsidRPr="00823AEC" w:rsidRDefault="00544813" w:rsidP="00327A3F">
          <w:pPr>
            <w:pStyle w:val="Encabezado"/>
            <w:jc w:val="center"/>
            <w:rPr>
              <w:rFonts w:asciiTheme="minorHAnsi" w:hAnsiTheme="minorHAnsi" w:cstheme="minorHAnsi"/>
              <w:szCs w:val="18"/>
            </w:rPr>
          </w:pPr>
          <w:r w:rsidRPr="00823AEC">
            <w:rPr>
              <w:rFonts w:asciiTheme="minorHAnsi" w:hAnsiTheme="minorHAnsi" w:cstheme="minorHAnsi"/>
              <w:szCs w:val="18"/>
            </w:rPr>
            <w:t>LEY GENERAL DE CONTABILIDAD</w:t>
          </w:r>
        </w:p>
        <w:p w:rsidR="00544813" w:rsidRPr="00823AEC" w:rsidRDefault="00544813" w:rsidP="00327A3F">
          <w:pPr>
            <w:pStyle w:val="Encabezado"/>
            <w:jc w:val="center"/>
            <w:rPr>
              <w:rFonts w:asciiTheme="minorHAnsi" w:hAnsiTheme="minorHAnsi" w:cstheme="minorHAnsi"/>
              <w:szCs w:val="18"/>
            </w:rPr>
          </w:pPr>
          <w:r w:rsidRPr="00823AEC">
            <w:rPr>
              <w:rFonts w:asciiTheme="minorHAnsi" w:hAnsiTheme="minorHAnsi" w:cstheme="minorHAnsi"/>
              <w:szCs w:val="18"/>
            </w:rPr>
            <w:t>GUBERNAMENTAL</w:t>
          </w:r>
        </w:p>
        <w:p w:rsidR="00544813" w:rsidRPr="00823AEC" w:rsidRDefault="00544813" w:rsidP="00327A3F">
          <w:pPr>
            <w:pStyle w:val="Encabezado"/>
            <w:jc w:val="center"/>
            <w:rPr>
              <w:rFonts w:ascii="Calibri Light" w:hAnsi="Calibri Light" w:cs="Calibri Light"/>
              <w:szCs w:val="18"/>
            </w:rPr>
          </w:pPr>
        </w:p>
        <w:p w:rsidR="00544813" w:rsidRPr="00823AEC" w:rsidRDefault="00544813" w:rsidP="00327A3F">
          <w:pPr>
            <w:pStyle w:val="Encabezado"/>
            <w:jc w:val="center"/>
            <w:rPr>
              <w:rFonts w:ascii="Calibri Light" w:hAnsi="Calibri Light" w:cs="Calibri Light"/>
              <w:szCs w:val="18"/>
            </w:rPr>
          </w:pPr>
          <w:r w:rsidRPr="00823AEC">
            <w:rPr>
              <w:rFonts w:ascii="Calibri Light" w:hAnsi="Calibri Light" w:cs="Calibri Light"/>
              <w:szCs w:val="18"/>
            </w:rPr>
            <w:t>TÍTULO V: De la Transparencia y Difusión de la</w:t>
          </w:r>
        </w:p>
        <w:p w:rsidR="00544813" w:rsidRPr="00971A8C" w:rsidRDefault="00544813" w:rsidP="00327A3F">
          <w:pPr>
            <w:pStyle w:val="Encabezado"/>
            <w:jc w:val="center"/>
            <w:rPr>
              <w:rFonts w:ascii="Calibri Light" w:hAnsi="Calibri Light" w:cs="Calibri Light"/>
              <w:szCs w:val="18"/>
            </w:rPr>
          </w:pPr>
          <w:r w:rsidRPr="00823AEC">
            <w:rPr>
              <w:rFonts w:ascii="Calibri Light" w:hAnsi="Calibri Light" w:cs="Calibri Light"/>
              <w:szCs w:val="18"/>
            </w:rPr>
            <w:t>Información Financiera</w:t>
          </w:r>
        </w:p>
      </w:tc>
      <w:tc>
        <w:tcPr>
          <w:tcW w:w="2690" w:type="dxa"/>
          <w:vAlign w:val="center"/>
        </w:tcPr>
        <w:p w:rsidR="00544813" w:rsidRDefault="00544813" w:rsidP="00327A3F">
          <w:pPr>
            <w:pStyle w:val="Encabezado"/>
            <w:jc w:val="center"/>
          </w:pPr>
          <w:r>
            <w:rPr>
              <w:noProof/>
              <w:lang w:val="es-MX"/>
            </w:rPr>
            <w:drawing>
              <wp:inline distT="0" distB="0" distL="0" distR="0">
                <wp:extent cx="1117810" cy="419959"/>
                <wp:effectExtent l="0" t="0" r="0" b="0"/>
                <wp:docPr id="3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OLOR (865x325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544" cy="440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4813" w:rsidRDefault="00544813" w:rsidP="00544813">
    <w:pPr>
      <w:jc w:val="center"/>
    </w:pPr>
    <w:r>
      <w:ptab w:relativeTo="margin" w:alignment="center" w:leader="none"/>
    </w:r>
  </w:p>
  <w:p w:rsidR="005029A8" w:rsidRPr="007F78E2" w:rsidRDefault="00544813" w:rsidP="00544813">
    <w:pPr>
      <w:jc w:val="center"/>
      <w:rPr>
        <w:rFonts w:ascii="Arial" w:hAnsi="Arial" w:cs="Arial"/>
        <w:b/>
        <w:sz w:val="22"/>
      </w:rPr>
    </w:pPr>
    <w:r w:rsidRPr="00971A8C">
      <w:rPr>
        <w:rFonts w:asciiTheme="minorHAnsi" w:hAnsiTheme="minorHAnsi" w:cstheme="minorHAnsi"/>
        <w:sz w:val="22"/>
      </w:rPr>
      <w:t>15. Norma para establecer el formato para la difusión de los resultados de las evaluaciones de los recursos federales ministrados a las entidades federativas.</w:t>
    </w:r>
    <w:r w:rsidR="005029A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0B14"/>
    <w:multiLevelType w:val="hybridMultilevel"/>
    <w:tmpl w:val="45367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1F5"/>
    <w:multiLevelType w:val="hybridMultilevel"/>
    <w:tmpl w:val="8314F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A08"/>
    <w:multiLevelType w:val="hybridMultilevel"/>
    <w:tmpl w:val="6686997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D083EFA"/>
    <w:multiLevelType w:val="hybridMultilevel"/>
    <w:tmpl w:val="865AC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0FFF"/>
    <w:multiLevelType w:val="hybridMultilevel"/>
    <w:tmpl w:val="D47C5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A71"/>
    <w:multiLevelType w:val="hybridMultilevel"/>
    <w:tmpl w:val="26AC1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5CDB"/>
    <w:multiLevelType w:val="hybridMultilevel"/>
    <w:tmpl w:val="76A891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549"/>
    <w:multiLevelType w:val="hybridMultilevel"/>
    <w:tmpl w:val="EFE6F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4D5B"/>
    <w:multiLevelType w:val="hybridMultilevel"/>
    <w:tmpl w:val="AC0A7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7FC4"/>
    <w:multiLevelType w:val="hybridMultilevel"/>
    <w:tmpl w:val="1B3AE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36B61"/>
    <w:multiLevelType w:val="hybridMultilevel"/>
    <w:tmpl w:val="5878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441BC"/>
    <w:multiLevelType w:val="hybridMultilevel"/>
    <w:tmpl w:val="BA248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63B98"/>
    <w:multiLevelType w:val="hybridMultilevel"/>
    <w:tmpl w:val="CE38D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74EB"/>
    <w:multiLevelType w:val="hybridMultilevel"/>
    <w:tmpl w:val="594A0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B17"/>
    <w:rsid w:val="00000B17"/>
    <w:rsid w:val="00024C8B"/>
    <w:rsid w:val="00064A52"/>
    <w:rsid w:val="00077BC9"/>
    <w:rsid w:val="000E77C7"/>
    <w:rsid w:val="00130FDD"/>
    <w:rsid w:val="00190FFD"/>
    <w:rsid w:val="001C2F82"/>
    <w:rsid w:val="001C6B56"/>
    <w:rsid w:val="001D3B17"/>
    <w:rsid w:val="002016F5"/>
    <w:rsid w:val="002017C8"/>
    <w:rsid w:val="00232DC2"/>
    <w:rsid w:val="00246BE6"/>
    <w:rsid w:val="0028754C"/>
    <w:rsid w:val="002D63EA"/>
    <w:rsid w:val="002D7CB4"/>
    <w:rsid w:val="002E16EF"/>
    <w:rsid w:val="00314725"/>
    <w:rsid w:val="00476C51"/>
    <w:rsid w:val="00487C46"/>
    <w:rsid w:val="004C1000"/>
    <w:rsid w:val="004E1363"/>
    <w:rsid w:val="004F565B"/>
    <w:rsid w:val="005029A8"/>
    <w:rsid w:val="00530F78"/>
    <w:rsid w:val="00536250"/>
    <w:rsid w:val="00544813"/>
    <w:rsid w:val="00546AFD"/>
    <w:rsid w:val="005B2F70"/>
    <w:rsid w:val="005C3CF9"/>
    <w:rsid w:val="006917FE"/>
    <w:rsid w:val="006D07DB"/>
    <w:rsid w:val="006D0FF5"/>
    <w:rsid w:val="007374C7"/>
    <w:rsid w:val="0079703E"/>
    <w:rsid w:val="007F78E2"/>
    <w:rsid w:val="00815520"/>
    <w:rsid w:val="00824960"/>
    <w:rsid w:val="008F30C7"/>
    <w:rsid w:val="00925C15"/>
    <w:rsid w:val="00927A3E"/>
    <w:rsid w:val="009668B8"/>
    <w:rsid w:val="00973FC2"/>
    <w:rsid w:val="0099118D"/>
    <w:rsid w:val="009F779A"/>
    <w:rsid w:val="00A60D4B"/>
    <w:rsid w:val="00AC28CB"/>
    <w:rsid w:val="00B34F8B"/>
    <w:rsid w:val="00B566E1"/>
    <w:rsid w:val="00B77149"/>
    <w:rsid w:val="00BB579C"/>
    <w:rsid w:val="00BC21EE"/>
    <w:rsid w:val="00BC40F3"/>
    <w:rsid w:val="00BF2BFE"/>
    <w:rsid w:val="00C77DAC"/>
    <w:rsid w:val="00C8572C"/>
    <w:rsid w:val="00CA329E"/>
    <w:rsid w:val="00CD0333"/>
    <w:rsid w:val="00D4623D"/>
    <w:rsid w:val="00DD59EC"/>
    <w:rsid w:val="00E96012"/>
    <w:rsid w:val="00EF698D"/>
    <w:rsid w:val="00F952C2"/>
    <w:rsid w:val="00FC0EDA"/>
    <w:rsid w:val="00FC787A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B646"/>
  <w15:docId w15:val="{73AE2BAC-9429-4B19-A03A-59B5358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D3B1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1D3B1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1D3B1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1D3B17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02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9A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02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9A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9A8"/>
    <w:rPr>
      <w:rFonts w:ascii="Tahoma" w:eastAsia="Times New Roman" w:hAnsi="Tahoma" w:cs="Tahoma"/>
      <w:sz w:val="16"/>
      <w:szCs w:val="16"/>
      <w:lang w:val="es-ES" w:eastAsia="es-MX"/>
    </w:rPr>
  </w:style>
  <w:style w:type="table" w:styleId="Tablaconcuadrcula">
    <w:name w:val="Table Grid"/>
    <w:basedOn w:val="Tablanormal"/>
    <w:uiPriority w:val="59"/>
    <w:rsid w:val="002D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960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E96012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147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nuevacampech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F763D-03E5-4526-9BF6-1F140D32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Samir E. Arjona</cp:lastModifiedBy>
  <cp:revision>2</cp:revision>
  <cp:lastPrinted>2002-01-02T11:20:00Z</cp:lastPrinted>
  <dcterms:created xsi:type="dcterms:W3CDTF">2019-02-01T23:52:00Z</dcterms:created>
  <dcterms:modified xsi:type="dcterms:W3CDTF">2019-02-01T23:52:00Z</dcterms:modified>
</cp:coreProperties>
</file>